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A5D" w:rsidRPr="009F1D31" w:rsidRDefault="001C796A" w:rsidP="00A0688F">
      <w:pPr>
        <w:jc w:val="center"/>
        <w:rPr>
          <w:b/>
        </w:rPr>
      </w:pPr>
      <w:r w:rsidRPr="009F1D31">
        <w:rPr>
          <w:b/>
        </w:rPr>
        <w:t>Tài liệu đính kèm Thông báo số</w:t>
      </w:r>
      <w:r w:rsidR="00806783" w:rsidRPr="009F1D31">
        <w:rPr>
          <w:b/>
        </w:rPr>
        <w:t xml:space="preserve"> </w:t>
      </w:r>
      <w:r w:rsidR="0091751D">
        <w:rPr>
          <w:b/>
        </w:rPr>
        <w:t>4340</w:t>
      </w:r>
      <w:r w:rsidR="00806783" w:rsidRPr="009F1D31">
        <w:rPr>
          <w:b/>
        </w:rPr>
        <w:t>/</w:t>
      </w:r>
      <w:r w:rsidR="00F11275" w:rsidRPr="009F1D31">
        <w:rPr>
          <w:b/>
        </w:rPr>
        <w:t>TB-</w:t>
      </w:r>
      <w:r w:rsidR="005F1F56" w:rsidRPr="009F1D31">
        <w:rPr>
          <w:b/>
        </w:rPr>
        <w:t>T</w:t>
      </w:r>
      <w:r w:rsidR="00806783" w:rsidRPr="009F1D31">
        <w:rPr>
          <w:b/>
        </w:rPr>
        <w:t>CDK</w:t>
      </w:r>
      <w:r w:rsidRPr="009F1D31">
        <w:rPr>
          <w:b/>
        </w:rPr>
        <w:t xml:space="preserve"> ngày </w:t>
      </w:r>
      <w:r w:rsidR="00C850BF">
        <w:rPr>
          <w:b/>
        </w:rPr>
        <w:t>18</w:t>
      </w:r>
      <w:r w:rsidR="00806783" w:rsidRPr="009F1D31">
        <w:rPr>
          <w:b/>
        </w:rPr>
        <w:t>/</w:t>
      </w:r>
      <w:r w:rsidR="00C11DD8" w:rsidRPr="009F1D31">
        <w:rPr>
          <w:b/>
        </w:rPr>
        <w:t>07/</w:t>
      </w:r>
      <w:r w:rsidR="00224A72" w:rsidRPr="009F1D31">
        <w:rPr>
          <w:b/>
        </w:rPr>
        <w:t>2013</w:t>
      </w:r>
    </w:p>
    <w:p w:rsidR="001C796A" w:rsidRPr="00FB4AB3" w:rsidRDefault="00323120" w:rsidP="00A0688F">
      <w:pPr>
        <w:jc w:val="center"/>
        <w:rPr>
          <w:b/>
          <w:i/>
        </w:rPr>
      </w:pPr>
      <w:r w:rsidRPr="00FB4AB3">
        <w:rPr>
          <w:b/>
          <w:i/>
        </w:rPr>
        <w:t>(Phụ lục số 0</w:t>
      </w:r>
      <w:r w:rsidR="00FB4AB3" w:rsidRPr="00FB4AB3">
        <w:rPr>
          <w:b/>
          <w:i/>
        </w:rPr>
        <w:t>5</w:t>
      </w:r>
      <w:r w:rsidRPr="00FB4AB3">
        <w:rPr>
          <w:b/>
          <w:i/>
        </w:rPr>
        <w:t>)</w:t>
      </w:r>
    </w:p>
    <w:p w:rsidR="00323120" w:rsidRPr="009F1D31" w:rsidRDefault="00323120" w:rsidP="00A0688F">
      <w:pPr>
        <w:jc w:val="center"/>
        <w:rPr>
          <w:b/>
          <w:u w:val="single"/>
        </w:rPr>
      </w:pPr>
    </w:p>
    <w:p w:rsidR="00417712" w:rsidRPr="00AD4958" w:rsidRDefault="00417712" w:rsidP="007141EA">
      <w:pPr>
        <w:pStyle w:val="NormalWeb"/>
        <w:spacing w:beforeLines="120" w:beforeAutospacing="0" w:afterLines="120" w:afterAutospacing="0"/>
        <w:jc w:val="both"/>
        <w:rPr>
          <w:b/>
          <w:bCs/>
          <w:sz w:val="24"/>
          <w:szCs w:val="24"/>
        </w:rPr>
      </w:pPr>
      <w:r w:rsidRPr="00AD4958">
        <w:rPr>
          <w:b/>
          <w:bCs/>
          <w:sz w:val="24"/>
          <w:szCs w:val="24"/>
        </w:rPr>
        <w:t>Luật doanh nghiệp (Trích)</w:t>
      </w:r>
    </w:p>
    <w:p w:rsidR="00417712" w:rsidRPr="009F1D31" w:rsidRDefault="00417712" w:rsidP="007141EA">
      <w:pPr>
        <w:pStyle w:val="NormalWeb"/>
        <w:spacing w:beforeLines="120" w:beforeAutospacing="0" w:afterLines="120" w:afterAutospacing="0"/>
        <w:jc w:val="both"/>
        <w:rPr>
          <w:sz w:val="24"/>
          <w:szCs w:val="24"/>
        </w:rPr>
      </w:pPr>
      <w:r w:rsidRPr="009F1D31">
        <w:rPr>
          <w:b/>
          <w:bCs/>
          <w:sz w:val="24"/>
          <w:szCs w:val="24"/>
        </w:rPr>
        <w:t>Điề</w:t>
      </w:r>
      <w:r w:rsidR="00A554EC">
        <w:rPr>
          <w:b/>
          <w:bCs/>
          <w:sz w:val="24"/>
          <w:szCs w:val="24"/>
        </w:rPr>
        <w:t>u 79.</w:t>
      </w:r>
      <w:r w:rsidRPr="009F1D31">
        <w:rPr>
          <w:b/>
          <w:bCs/>
          <w:sz w:val="24"/>
          <w:szCs w:val="24"/>
        </w:rPr>
        <w:t xml:space="preserve">2 </w:t>
      </w:r>
      <w:r w:rsidRPr="009F1D31">
        <w:rPr>
          <w:b/>
          <w:bCs/>
          <w:i/>
          <w:iCs/>
          <w:sz w:val="24"/>
          <w:szCs w:val="24"/>
        </w:rPr>
        <w:t>Quyền của cổ đông phổ thông:</w:t>
      </w:r>
      <w:r w:rsidRPr="009F1D31">
        <w:rPr>
          <w:sz w:val="24"/>
          <w:szCs w:val="24"/>
        </w:rPr>
        <w:t xml:space="preserve"> Cổ đông hoặc nhóm cổ đông sở hữu trên 10% tổng số cổ phần phổ thông trong thời hạn liên tục ít nhất sáu tháng hoặc một tỷ lệ khác nhỏ hơn quy định tại Điều lệ công ty có quyền đề cử người vào Hội đồng quản trị và Ban kiểm soát</w:t>
      </w:r>
      <w:r w:rsidR="00A3278B" w:rsidRPr="009F1D31">
        <w:rPr>
          <w:sz w:val="24"/>
          <w:szCs w:val="24"/>
        </w:rPr>
        <w:t>.</w:t>
      </w:r>
    </w:p>
    <w:p w:rsidR="00A71634" w:rsidRPr="009F1D31" w:rsidRDefault="00A71634" w:rsidP="007141EA">
      <w:pPr>
        <w:pStyle w:val="NormalWeb"/>
        <w:spacing w:beforeLines="120" w:beforeAutospacing="0" w:afterLines="120" w:afterAutospacing="0"/>
        <w:jc w:val="both"/>
        <w:rPr>
          <w:sz w:val="24"/>
          <w:szCs w:val="24"/>
        </w:rPr>
      </w:pPr>
      <w:r w:rsidRPr="009F1D31">
        <w:rPr>
          <w:b/>
          <w:bCs/>
          <w:sz w:val="24"/>
          <w:szCs w:val="24"/>
        </w:rPr>
        <w:t xml:space="preserve">Điều 104. </w:t>
      </w:r>
      <w:r w:rsidRPr="009F1D31">
        <w:rPr>
          <w:b/>
          <w:bCs/>
          <w:i/>
          <w:iCs/>
          <w:sz w:val="24"/>
          <w:szCs w:val="24"/>
        </w:rPr>
        <w:t xml:space="preserve">Thông qua quyết định của Đại hội đồng cổ đông </w:t>
      </w:r>
    </w:p>
    <w:p w:rsidR="00A71634" w:rsidRPr="009F1D31" w:rsidRDefault="00A71634" w:rsidP="007141EA">
      <w:pPr>
        <w:pStyle w:val="NormalWeb"/>
        <w:spacing w:beforeLines="120" w:beforeAutospacing="0" w:afterLines="120" w:afterAutospacing="0"/>
        <w:jc w:val="both"/>
        <w:rPr>
          <w:sz w:val="24"/>
          <w:szCs w:val="24"/>
        </w:rPr>
      </w:pPr>
      <w:r w:rsidRPr="009F1D31">
        <w:rPr>
          <w:sz w:val="24"/>
          <w:szCs w:val="24"/>
        </w:rPr>
        <w:t>3. Quyết định của Đại hội đồng cổ đông được thông qua tại cuộc họp khi có đủ các điều kiện sau đây:</w:t>
      </w:r>
    </w:p>
    <w:p w:rsidR="00A71634" w:rsidRPr="009F1D31" w:rsidRDefault="00A71634" w:rsidP="007141EA">
      <w:pPr>
        <w:pStyle w:val="NormalWeb"/>
        <w:spacing w:beforeLines="120" w:beforeAutospacing="0" w:afterLines="120" w:afterAutospacing="0"/>
        <w:jc w:val="both"/>
        <w:rPr>
          <w:sz w:val="24"/>
          <w:szCs w:val="24"/>
        </w:rPr>
      </w:pPr>
      <w:r w:rsidRPr="009F1D31">
        <w:rPr>
          <w:sz w:val="24"/>
          <w:szCs w:val="24"/>
        </w:rPr>
        <w:t>c) 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tổng số phiếu bầu của mình cho một hoặc một số ứng cử viên.</w:t>
      </w:r>
    </w:p>
    <w:p w:rsidR="00A3278B" w:rsidRPr="00AD4958" w:rsidRDefault="00A3278B" w:rsidP="007141EA">
      <w:pPr>
        <w:pStyle w:val="NormalWeb"/>
        <w:spacing w:beforeLines="120" w:beforeAutospacing="0" w:afterLines="120" w:afterAutospacing="0"/>
        <w:jc w:val="both"/>
        <w:rPr>
          <w:b/>
          <w:bCs/>
          <w:sz w:val="24"/>
          <w:szCs w:val="24"/>
          <w:lang w:val="vi-VN"/>
        </w:rPr>
      </w:pPr>
      <w:r w:rsidRPr="00AD4958">
        <w:rPr>
          <w:b/>
          <w:bCs/>
          <w:sz w:val="24"/>
          <w:szCs w:val="24"/>
        </w:rPr>
        <w:t>Nghị định 102/2010/NĐ-CP ngày 01/10/2010 Hướng dẫn chi tiết thi hành một số điều Luật doanh nghiệp</w:t>
      </w:r>
    </w:p>
    <w:p w:rsidR="00A3278B" w:rsidRPr="009F1D31" w:rsidRDefault="00A3278B" w:rsidP="009F1D31">
      <w:pPr>
        <w:shd w:val="clear" w:color="auto" w:fill="FFFFFF"/>
        <w:spacing w:before="120" w:after="100" w:afterAutospacing="1"/>
        <w:jc w:val="both"/>
      </w:pPr>
      <w:r w:rsidRPr="009F1D31">
        <w:rPr>
          <w:b/>
          <w:bCs/>
        </w:rPr>
        <w:t xml:space="preserve">Điều 29. Bầu dồn phiếu </w:t>
      </w:r>
    </w:p>
    <w:p w:rsidR="00A3278B" w:rsidRPr="009F1D31" w:rsidRDefault="00A3278B" w:rsidP="009F1D31">
      <w:pPr>
        <w:shd w:val="clear" w:color="auto" w:fill="FFFFFF"/>
        <w:spacing w:before="120" w:after="100" w:afterAutospacing="1"/>
        <w:jc w:val="both"/>
      </w:pPr>
      <w:r w:rsidRPr="009F1D31">
        <w:t xml:space="preserve">1. Phương thức dồn phiếu bầu quy định tại điểm c khoản 3 Điều 104 của Luật Doanh nghiệp được áp dụng đối với tất cả các công ty cổ phần, gồm cả các công ty niêm yết, trừ trường hợp pháp luật về chứng khoán có quy định khác. </w:t>
      </w:r>
    </w:p>
    <w:p w:rsidR="00A3278B" w:rsidRPr="009F1D31" w:rsidRDefault="00A3278B" w:rsidP="009F1D31">
      <w:pPr>
        <w:shd w:val="clear" w:color="auto" w:fill="FFFFFF"/>
        <w:spacing w:before="120" w:after="100" w:afterAutospacing="1"/>
        <w:jc w:val="both"/>
      </w:pPr>
      <w:r w:rsidRPr="009F1D31">
        <w:t xml:space="preserve">2. Trước và trong cuộc họp Đại hội đồng cổ đông, các cổ đông có quyền cùng nhau lập nhóm để đề cử và dồn phiếu bầu cho người do họ đề cử. </w:t>
      </w:r>
    </w:p>
    <w:p w:rsidR="00A3278B" w:rsidRPr="009F1D31" w:rsidRDefault="00A3278B" w:rsidP="009F1D31">
      <w:pPr>
        <w:shd w:val="clear" w:color="auto" w:fill="FFFFFF"/>
        <w:spacing w:before="120" w:after="100" w:afterAutospacing="1"/>
        <w:jc w:val="both"/>
      </w:pPr>
      <w:r w:rsidRPr="009F1D31">
        <w:t>3. Số lượng ứng cử viên mà mỗi nhóm có quyền đề cử phụ thuộc vào số lượng ứng cử viên do Đại hội quyết định và tỷ lệ sở hữu cổ phần của mỗi nhóm. Nếu Điều lệ công ty không quy định khác hoặc Đại hội đồng cổ đông không quyết định khác thì số lượng ứng cử viên mà các nhóm có quyền đề cử thực hiện như sau:</w:t>
      </w:r>
    </w:p>
    <w:p w:rsidR="00A3278B" w:rsidRPr="009F1D31" w:rsidRDefault="00A3278B" w:rsidP="009F1D31">
      <w:pPr>
        <w:shd w:val="clear" w:color="auto" w:fill="FFFFFF"/>
        <w:spacing w:before="120" w:after="100" w:afterAutospacing="1"/>
        <w:jc w:val="both"/>
      </w:pPr>
      <w:r w:rsidRPr="009F1D31">
        <w:t>a) Cổ đông, nhóm cổ đông sở hữu từ 10% đến dưới 20% tổng số cổ phần có quyền biểu quyết được đề cử tối đa</w:t>
      </w:r>
      <w:r w:rsidR="00986AEA" w:rsidRPr="009F1D31">
        <w:t xml:space="preserve"> 01 (</w:t>
      </w:r>
      <w:r w:rsidRPr="009F1D31">
        <w:t>một</w:t>
      </w:r>
      <w:r w:rsidR="00986AEA" w:rsidRPr="009F1D31">
        <w:t>)</w:t>
      </w:r>
      <w:r w:rsidRPr="009F1D31">
        <w:t xml:space="preserve"> ứng cử viên; </w:t>
      </w:r>
    </w:p>
    <w:p w:rsidR="00A3278B" w:rsidRPr="009F1D31" w:rsidRDefault="00A3278B" w:rsidP="009F1D31">
      <w:pPr>
        <w:shd w:val="clear" w:color="auto" w:fill="FFFFFF"/>
        <w:spacing w:before="120" w:after="100" w:afterAutospacing="1"/>
        <w:jc w:val="both"/>
      </w:pPr>
      <w:r w:rsidRPr="009F1D31">
        <w:t>b) Cổ đông, nhóm cổ đông sở hữu từ 20% đến dưới 30% tổng số cổ phần có quyền biểu quyết được đề cử tối đa</w:t>
      </w:r>
      <w:r w:rsidR="00986AEA" w:rsidRPr="009F1D31">
        <w:t xml:space="preserve"> 02</w:t>
      </w:r>
      <w:r w:rsidRPr="009F1D31">
        <w:t xml:space="preserve"> </w:t>
      </w:r>
      <w:r w:rsidR="00986AEA" w:rsidRPr="009F1D31">
        <w:t>(</w:t>
      </w:r>
      <w:r w:rsidRPr="009F1D31">
        <w:t>hai</w:t>
      </w:r>
      <w:r w:rsidR="00986AEA" w:rsidRPr="009F1D31">
        <w:t>)</w:t>
      </w:r>
      <w:r w:rsidRPr="009F1D31">
        <w:t xml:space="preserve"> ứng cử viên; </w:t>
      </w:r>
    </w:p>
    <w:p w:rsidR="00A3278B" w:rsidRPr="009F1D31" w:rsidRDefault="00A3278B" w:rsidP="009F1D31">
      <w:pPr>
        <w:shd w:val="clear" w:color="auto" w:fill="FFFFFF"/>
        <w:spacing w:before="120" w:after="100" w:afterAutospacing="1"/>
        <w:jc w:val="both"/>
      </w:pPr>
      <w:r w:rsidRPr="009F1D31">
        <w:t xml:space="preserve">c) Cổ đông, nhóm cổ đông sở hữu từ 30% đến dưới 40% tổng số cổ phần có quyền biểu quyết được đề cử tối đa </w:t>
      </w:r>
      <w:r w:rsidR="00986AEA" w:rsidRPr="009F1D31">
        <w:t>03 (</w:t>
      </w:r>
      <w:r w:rsidRPr="009F1D31">
        <w:t>ba</w:t>
      </w:r>
      <w:r w:rsidR="00986AEA" w:rsidRPr="009F1D31">
        <w:t>)</w:t>
      </w:r>
      <w:r w:rsidRPr="009F1D31">
        <w:t xml:space="preserve"> ứng cử viên; </w:t>
      </w:r>
    </w:p>
    <w:p w:rsidR="00A3278B" w:rsidRPr="009F1D31" w:rsidRDefault="00A3278B" w:rsidP="009F1D31">
      <w:pPr>
        <w:shd w:val="clear" w:color="auto" w:fill="FFFFFF"/>
        <w:spacing w:before="120" w:after="100" w:afterAutospacing="1"/>
        <w:jc w:val="both"/>
      </w:pPr>
      <w:r w:rsidRPr="009F1D31">
        <w:t xml:space="preserve">d) Cổ đông, nhóm cổ đông sở hữu từ 40% đến dưới 50% tổng số cổ phần có quyền biểu quyết được đề cử tối đa </w:t>
      </w:r>
      <w:r w:rsidR="00986AEA" w:rsidRPr="009F1D31">
        <w:t>04 (</w:t>
      </w:r>
      <w:r w:rsidRPr="009F1D31">
        <w:t>bốn</w:t>
      </w:r>
      <w:r w:rsidR="00986AEA" w:rsidRPr="009F1D31">
        <w:t>)</w:t>
      </w:r>
      <w:r w:rsidRPr="009F1D31">
        <w:t xml:space="preserve"> ứng cử viên; </w:t>
      </w:r>
    </w:p>
    <w:p w:rsidR="00A3278B" w:rsidRPr="009F1D31" w:rsidRDefault="00A3278B" w:rsidP="009F1D31">
      <w:pPr>
        <w:shd w:val="clear" w:color="auto" w:fill="FFFFFF"/>
        <w:spacing w:before="120" w:after="100" w:afterAutospacing="1"/>
        <w:jc w:val="both"/>
      </w:pPr>
      <w:r w:rsidRPr="009F1D31">
        <w:t>đ) Cổ đông, nhóm cổ đông sở hữu từ 50% đến dưới 60% tổng số cổ phần có quyền biểu quyết được đề cử tối đa</w:t>
      </w:r>
      <w:r w:rsidR="00986AEA" w:rsidRPr="009F1D31">
        <w:t xml:space="preserve"> 05</w:t>
      </w:r>
      <w:r w:rsidRPr="009F1D31">
        <w:t xml:space="preserve"> </w:t>
      </w:r>
      <w:r w:rsidR="00986AEA" w:rsidRPr="009F1D31">
        <w:t>(</w:t>
      </w:r>
      <w:r w:rsidRPr="009F1D31">
        <w:t>năm</w:t>
      </w:r>
      <w:r w:rsidR="00986AEA" w:rsidRPr="009F1D31">
        <w:t>)</w:t>
      </w:r>
      <w:r w:rsidRPr="009F1D31">
        <w:t xml:space="preserve"> ứng cử viên; </w:t>
      </w:r>
    </w:p>
    <w:p w:rsidR="00A3278B" w:rsidRPr="009F1D31" w:rsidRDefault="00A3278B" w:rsidP="009F1D31">
      <w:pPr>
        <w:shd w:val="clear" w:color="auto" w:fill="FFFFFF"/>
        <w:spacing w:before="120" w:after="100" w:afterAutospacing="1"/>
        <w:jc w:val="both"/>
      </w:pPr>
      <w:r w:rsidRPr="009F1D31">
        <w:t xml:space="preserve">e) Cổ đông, nhóm cổ đông sở hữu từ 60% đến dưới 70% tổng số cổ phần có quyền biểu quyết được đề cử tối đa </w:t>
      </w:r>
      <w:r w:rsidR="00986AEA" w:rsidRPr="009F1D31">
        <w:t>06 (</w:t>
      </w:r>
      <w:r w:rsidRPr="009F1D31">
        <w:t>sáu</w:t>
      </w:r>
      <w:r w:rsidR="00986AEA" w:rsidRPr="009F1D31">
        <w:t>)</w:t>
      </w:r>
      <w:r w:rsidRPr="009F1D31">
        <w:t xml:space="preserve"> ứng cử viên; </w:t>
      </w:r>
    </w:p>
    <w:p w:rsidR="00A3278B" w:rsidRPr="009F1D31" w:rsidRDefault="00A3278B" w:rsidP="009F1D31">
      <w:pPr>
        <w:shd w:val="clear" w:color="auto" w:fill="FFFFFF"/>
        <w:spacing w:before="120" w:after="100" w:afterAutospacing="1"/>
        <w:jc w:val="both"/>
      </w:pPr>
      <w:r w:rsidRPr="009F1D31">
        <w:lastRenderedPageBreak/>
        <w:t xml:space="preserve">g) Cổ đông, nhóm cổ đông sở hữu từ 70% đến dưới 80% tổng số cổ phần có quyền biểu quyết được đề cử tối đa </w:t>
      </w:r>
      <w:r w:rsidR="00986AEA" w:rsidRPr="009F1D31">
        <w:t>07 (</w:t>
      </w:r>
      <w:r w:rsidRPr="009F1D31">
        <w:t>bảy</w:t>
      </w:r>
      <w:r w:rsidR="00986AEA" w:rsidRPr="009F1D31">
        <w:t>)</w:t>
      </w:r>
      <w:r w:rsidRPr="009F1D31">
        <w:t xml:space="preserve"> ứng cử viên; </w:t>
      </w:r>
    </w:p>
    <w:p w:rsidR="00A3278B" w:rsidRPr="009F1D31" w:rsidRDefault="00A3278B" w:rsidP="009F1D31">
      <w:pPr>
        <w:shd w:val="clear" w:color="auto" w:fill="FFFFFF"/>
        <w:spacing w:before="120" w:after="100" w:afterAutospacing="1"/>
        <w:jc w:val="both"/>
      </w:pPr>
      <w:r w:rsidRPr="009F1D31">
        <w:t xml:space="preserve">h) Cổ đông, nhóm cổ đông sở hữu từ 80% đến dưới 90% tổng số cổ phần có quyền biểu quyết được đề cử tối đa </w:t>
      </w:r>
      <w:r w:rsidR="00986AEA" w:rsidRPr="009F1D31">
        <w:t>08 (</w:t>
      </w:r>
      <w:r w:rsidRPr="009F1D31">
        <w:t>tám</w:t>
      </w:r>
      <w:r w:rsidR="00986AEA" w:rsidRPr="009F1D31">
        <w:t>)</w:t>
      </w:r>
      <w:r w:rsidRPr="009F1D31">
        <w:t xml:space="preserve"> ứng cử viên. </w:t>
      </w:r>
    </w:p>
    <w:p w:rsidR="00A3278B" w:rsidRPr="009F1D31" w:rsidRDefault="00A3278B" w:rsidP="009F1D31">
      <w:pPr>
        <w:shd w:val="clear" w:color="auto" w:fill="FFFFFF"/>
        <w:spacing w:before="120" w:after="100" w:afterAutospacing="1"/>
        <w:jc w:val="both"/>
      </w:pPr>
      <w:r w:rsidRPr="009F1D31">
        <w:t xml:space="preserve">Trường hợp số lượng ứng cử viên được cổ đông, nhóm cổ đông đề cử thấp hơn số ứng cử viên mà họ được quyền đề cử, số ứng cử viên còn lại do Hội đồng quản trị hoặc Ban kiểm soát hoặc các cổ đông khác đề cử. </w:t>
      </w:r>
    </w:p>
    <w:p w:rsidR="00A3278B" w:rsidRPr="009F1D31" w:rsidRDefault="00A3278B" w:rsidP="009F1D31">
      <w:pPr>
        <w:shd w:val="clear" w:color="auto" w:fill="FFFFFF"/>
        <w:spacing w:before="120" w:after="100" w:afterAutospacing="1"/>
        <w:jc w:val="both"/>
      </w:pPr>
      <w:r w:rsidRPr="009F1D31">
        <w:t xml:space="preserve">4. Người trúng cử thành viên Hội đồng quản trị hoặc thành viên Ban kiểm soát được xác  định theo số phiếu bầu tính từ cao xuống thấp, bắt đầu từ ứng cử viên có số phiếu bầu cao nhất cho đến khi đủ số thành viên quy định tại Điều lệ công ty. Trường hợp có từ hai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chế bầu cử hoặc Điều lệ công ty. </w:t>
      </w:r>
    </w:p>
    <w:p w:rsidR="00323120" w:rsidRPr="00B3573F" w:rsidRDefault="00B3573F" w:rsidP="009F1D31">
      <w:pPr>
        <w:jc w:val="both"/>
        <w:rPr>
          <w:b/>
          <w:lang w:val="vi-VN"/>
        </w:rPr>
      </w:pPr>
      <w:r w:rsidRPr="00B3573F">
        <w:rPr>
          <w:b/>
          <w:lang w:val="vi-VN"/>
        </w:rPr>
        <w:t xml:space="preserve">Hướng dẫn </w:t>
      </w:r>
      <w:r>
        <w:rPr>
          <w:b/>
          <w:lang w:val="vi-VN"/>
        </w:rPr>
        <w:t xml:space="preserve">của Ngân hàng hợp nhất về </w:t>
      </w:r>
      <w:r w:rsidRPr="00B3573F">
        <w:rPr>
          <w:b/>
          <w:lang w:val="vi-VN"/>
        </w:rPr>
        <w:t>phương thức bầu dồn phiếu</w:t>
      </w:r>
    </w:p>
    <w:p w:rsidR="00323120" w:rsidRDefault="00323120" w:rsidP="009F1D31">
      <w:pPr>
        <w:jc w:val="both"/>
        <w:rPr>
          <w:b/>
          <w:u w:val="single"/>
          <w:lang w:val="vi-VN"/>
        </w:rPr>
      </w:pPr>
    </w:p>
    <w:p w:rsidR="00B3573F" w:rsidRPr="00B3573F" w:rsidRDefault="00B3573F" w:rsidP="00B3573F">
      <w:pPr>
        <w:jc w:val="both"/>
        <w:rPr>
          <w:lang w:val="vi-VN"/>
        </w:rPr>
      </w:pPr>
      <w:r>
        <w:rPr>
          <w:lang w:val="vi-VN"/>
        </w:rPr>
        <w:t>M</w:t>
      </w:r>
      <w:r w:rsidRPr="00B3573F">
        <w:rPr>
          <w:lang w:val="vi-VN"/>
        </w:rPr>
        <w:t xml:space="preserve">ỗi </w:t>
      </w:r>
      <w:r w:rsidR="00C43DDC">
        <w:rPr>
          <w:lang w:val="vi-VN"/>
        </w:rPr>
        <w:t>c</w:t>
      </w:r>
      <w:r w:rsidRPr="00B3573F">
        <w:rPr>
          <w:lang w:val="vi-VN"/>
        </w:rPr>
        <w:t xml:space="preserve">ổ đông có tổng số phiếu bầu bằng số cổ phần sở hữu nhân với số thành viên </w:t>
      </w:r>
      <w:r>
        <w:rPr>
          <w:lang w:val="vi-VN"/>
        </w:rPr>
        <w:t xml:space="preserve">HĐQT </w:t>
      </w:r>
      <w:r w:rsidRPr="00B3573F">
        <w:rPr>
          <w:lang w:val="vi-VN"/>
        </w:rPr>
        <w:t xml:space="preserve">hoặc BKS được bầu. Cổ đông có quyền dồn hết tổng số phiếu bầu của mình cho một ứng viên hoặc phân chia phiếu bầu cho một số </w:t>
      </w:r>
      <w:r>
        <w:rPr>
          <w:lang w:val="vi-VN"/>
        </w:rPr>
        <w:t xml:space="preserve">hoặc toàn bộ </w:t>
      </w:r>
      <w:r w:rsidRPr="00B3573F">
        <w:rPr>
          <w:lang w:val="vi-VN"/>
        </w:rPr>
        <w:t>ứng viên.</w:t>
      </w:r>
    </w:p>
    <w:p w:rsidR="00C43DDC" w:rsidRPr="0037311B" w:rsidRDefault="00C43DDC" w:rsidP="00C43DDC">
      <w:pPr>
        <w:spacing w:before="240" w:after="120"/>
        <w:jc w:val="both"/>
        <w:rPr>
          <w:b/>
          <w:i/>
        </w:rPr>
      </w:pPr>
      <w:r w:rsidRPr="0037311B">
        <w:rPr>
          <w:b/>
          <w:i/>
        </w:rPr>
        <w:t>Ví dụ:</w:t>
      </w:r>
    </w:p>
    <w:p w:rsidR="00C43DDC" w:rsidRDefault="00C43DDC" w:rsidP="00C43DDC">
      <w:pPr>
        <w:numPr>
          <w:ilvl w:val="0"/>
          <w:numId w:val="12"/>
        </w:numPr>
        <w:tabs>
          <w:tab w:val="left" w:leader="dot" w:pos="2835"/>
        </w:tabs>
        <w:spacing w:before="120" w:after="120"/>
        <w:jc w:val="both"/>
      </w:pPr>
      <w:r>
        <w:t>M</w:t>
      </w:r>
      <w:r w:rsidRPr="00662036">
        <w:t>ộ</w:t>
      </w:r>
      <w:r>
        <w:t xml:space="preserve">t </w:t>
      </w:r>
      <w:r>
        <w:rPr>
          <w:lang w:val="vi-VN"/>
        </w:rPr>
        <w:t>c</w:t>
      </w:r>
      <w:r w:rsidRPr="00C16D02">
        <w:t>ổ đông sở hữu 1</w:t>
      </w:r>
      <w:r>
        <w:t>0.000</w:t>
      </w:r>
      <w:r w:rsidRPr="00C16D02">
        <w:t xml:space="preserve"> cổ phần</w:t>
      </w:r>
      <w:r>
        <w:t>,</w:t>
      </w:r>
      <w:r w:rsidRPr="00C16D02">
        <w:t xml:space="preserve"> thì sẽ </w:t>
      </w:r>
      <w:r>
        <w:t>được nh</w:t>
      </w:r>
      <w:r w:rsidRPr="00C86481">
        <w:t>ận</w:t>
      </w:r>
      <w:r>
        <w:t xml:space="preserve"> </w:t>
      </w:r>
      <w:r w:rsidRPr="00C16D02">
        <w:t>lá phiếu 1</w:t>
      </w:r>
      <w:r>
        <w:t>0.000</w:t>
      </w:r>
      <w:r w:rsidRPr="00C16D02">
        <w:t xml:space="preserve"> </w:t>
      </w:r>
      <w:r>
        <w:t>cổ phần.</w:t>
      </w:r>
    </w:p>
    <w:p w:rsidR="00C43DDC" w:rsidRPr="00C16D02" w:rsidRDefault="00C43DDC" w:rsidP="00C43DDC">
      <w:pPr>
        <w:numPr>
          <w:ilvl w:val="0"/>
          <w:numId w:val="12"/>
        </w:numPr>
        <w:tabs>
          <w:tab w:val="left" w:leader="dot" w:pos="2835"/>
        </w:tabs>
        <w:spacing w:before="120" w:after="120"/>
        <w:jc w:val="both"/>
      </w:pPr>
      <w:r>
        <w:t>N</w:t>
      </w:r>
      <w:r w:rsidRPr="00E75F94">
        <w:t>ếu</w:t>
      </w:r>
      <w:r>
        <w:t xml:space="preserve"> s</w:t>
      </w:r>
      <w:r w:rsidRPr="00C16D02">
        <w:t xml:space="preserve">ố thành viên </w:t>
      </w:r>
      <w:r>
        <w:rPr>
          <w:lang w:val="vi-VN"/>
        </w:rPr>
        <w:t xml:space="preserve">HĐQT hoặc </w:t>
      </w:r>
      <w:r>
        <w:t>BKS</w:t>
      </w:r>
      <w:r w:rsidRPr="00C16D02">
        <w:t xml:space="preserve"> được bầu là </w:t>
      </w:r>
      <w:r>
        <w:t>2</w:t>
      </w:r>
      <w:r w:rsidRPr="00C16D02">
        <w:t xml:space="preserve"> người</w:t>
      </w:r>
      <w:r>
        <w:t xml:space="preserve"> th</w:t>
      </w:r>
      <w:r w:rsidRPr="00E75F94">
        <w:t>ì</w:t>
      </w:r>
      <w:r>
        <w:t xml:space="preserve"> t</w:t>
      </w:r>
      <w:r w:rsidRPr="00C16D02">
        <w:t xml:space="preserve">ổng số phiếu bầu của </w:t>
      </w:r>
      <w:r>
        <w:t>lá phiếu</w:t>
      </w:r>
      <w:r w:rsidRPr="00C16D02">
        <w:t xml:space="preserve"> là </w:t>
      </w:r>
      <w:r>
        <w:t>10.000</w:t>
      </w:r>
      <w:r w:rsidRPr="00C16D02">
        <w:t xml:space="preserve"> x </w:t>
      </w:r>
      <w:r>
        <w:t>2</w:t>
      </w:r>
      <w:r w:rsidRPr="00C16D02">
        <w:t xml:space="preserve"> = </w:t>
      </w:r>
      <w:r>
        <w:t>20.000</w:t>
      </w:r>
      <w:r w:rsidRPr="00C16D02">
        <w:t xml:space="preserve"> phiếu</w:t>
      </w:r>
      <w:r>
        <w:t>;</w:t>
      </w:r>
    </w:p>
    <w:p w:rsidR="00C43DDC" w:rsidRPr="00C16D02" w:rsidRDefault="00C43DDC" w:rsidP="00C43DDC">
      <w:pPr>
        <w:numPr>
          <w:ilvl w:val="0"/>
          <w:numId w:val="12"/>
        </w:numPr>
        <w:tabs>
          <w:tab w:val="left" w:leader="dot" w:pos="2835"/>
        </w:tabs>
        <w:spacing w:before="120" w:after="120"/>
        <w:jc w:val="both"/>
      </w:pPr>
      <w:r>
        <w:t>C</w:t>
      </w:r>
      <w:r w:rsidRPr="00C16D02">
        <w:t xml:space="preserve">ách bầu </w:t>
      </w:r>
      <w:r>
        <w:t>đối với l</w:t>
      </w:r>
      <w:r w:rsidRPr="00662036">
        <w:t>á</w:t>
      </w:r>
      <w:r>
        <w:t xml:space="preserve"> phi</w:t>
      </w:r>
      <w:r w:rsidRPr="00662036">
        <w:t>ếu</w:t>
      </w:r>
      <w:r>
        <w:t xml:space="preserve"> 10.000 cổ phần </w:t>
      </w:r>
      <w:r w:rsidRPr="00C16D02">
        <w:t>như sau:</w:t>
      </w:r>
    </w:p>
    <w:tbl>
      <w:tblPr>
        <w:tblW w:w="953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2397"/>
        <w:gridCol w:w="2223"/>
        <w:gridCol w:w="2160"/>
        <w:gridCol w:w="2157"/>
      </w:tblGrid>
      <w:tr w:rsidR="00C43DDC" w:rsidRPr="00C43DDC" w:rsidTr="00A736F9">
        <w:trPr>
          <w:trHeight w:val="414"/>
          <w:jc w:val="center"/>
        </w:trPr>
        <w:tc>
          <w:tcPr>
            <w:tcW w:w="600" w:type="dxa"/>
            <w:vMerge w:val="restart"/>
            <w:vAlign w:val="center"/>
          </w:tcPr>
          <w:p w:rsidR="00C43DDC" w:rsidRPr="00C43DDC" w:rsidRDefault="00C43DDC" w:rsidP="00C43DDC">
            <w:pPr>
              <w:spacing w:before="60" w:after="60"/>
              <w:jc w:val="center"/>
              <w:rPr>
                <w:b/>
                <w:sz w:val="23"/>
                <w:szCs w:val="23"/>
              </w:rPr>
            </w:pPr>
            <w:r w:rsidRPr="00C43DDC">
              <w:rPr>
                <w:b/>
                <w:sz w:val="23"/>
                <w:szCs w:val="23"/>
              </w:rPr>
              <w:t>TT</w:t>
            </w:r>
          </w:p>
        </w:tc>
        <w:tc>
          <w:tcPr>
            <w:tcW w:w="2397" w:type="dxa"/>
            <w:vMerge w:val="restart"/>
            <w:vAlign w:val="center"/>
          </w:tcPr>
          <w:p w:rsidR="00C43DDC" w:rsidRPr="00C43DDC" w:rsidRDefault="00C43DDC" w:rsidP="00C43DDC">
            <w:pPr>
              <w:jc w:val="center"/>
              <w:rPr>
                <w:b/>
                <w:sz w:val="23"/>
                <w:szCs w:val="23"/>
              </w:rPr>
            </w:pPr>
            <w:r w:rsidRPr="00C43DDC">
              <w:rPr>
                <w:b/>
                <w:sz w:val="23"/>
                <w:szCs w:val="23"/>
              </w:rPr>
              <w:t>Ứng viên</w:t>
            </w:r>
          </w:p>
        </w:tc>
        <w:tc>
          <w:tcPr>
            <w:tcW w:w="6540" w:type="dxa"/>
            <w:gridSpan w:val="3"/>
            <w:vAlign w:val="center"/>
          </w:tcPr>
          <w:p w:rsidR="00C43DDC" w:rsidRPr="00C43DDC" w:rsidRDefault="00C43DDC" w:rsidP="00C43DDC">
            <w:pPr>
              <w:spacing w:before="100" w:after="100"/>
              <w:jc w:val="center"/>
              <w:rPr>
                <w:b/>
                <w:sz w:val="23"/>
                <w:szCs w:val="23"/>
              </w:rPr>
            </w:pPr>
            <w:r w:rsidRPr="00C43DDC">
              <w:rPr>
                <w:b/>
                <w:sz w:val="23"/>
                <w:szCs w:val="23"/>
              </w:rPr>
              <w:t>Số phiếu bầu</w:t>
            </w:r>
          </w:p>
        </w:tc>
      </w:tr>
      <w:tr w:rsidR="00C43DDC" w:rsidRPr="00C43DDC" w:rsidTr="00A736F9">
        <w:trPr>
          <w:trHeight w:val="414"/>
          <w:jc w:val="center"/>
        </w:trPr>
        <w:tc>
          <w:tcPr>
            <w:tcW w:w="600" w:type="dxa"/>
            <w:vMerge/>
            <w:vAlign w:val="center"/>
          </w:tcPr>
          <w:p w:rsidR="00C43DDC" w:rsidRPr="00C43DDC" w:rsidRDefault="00C43DDC" w:rsidP="00C43DDC">
            <w:pPr>
              <w:spacing w:before="60" w:after="60"/>
              <w:jc w:val="center"/>
              <w:rPr>
                <w:b/>
                <w:sz w:val="23"/>
                <w:szCs w:val="23"/>
              </w:rPr>
            </w:pPr>
          </w:p>
        </w:tc>
        <w:tc>
          <w:tcPr>
            <w:tcW w:w="2397" w:type="dxa"/>
            <w:vMerge/>
            <w:vAlign w:val="center"/>
          </w:tcPr>
          <w:p w:rsidR="00C43DDC" w:rsidRPr="00C43DDC" w:rsidRDefault="00C43DDC" w:rsidP="00C43DDC">
            <w:pPr>
              <w:jc w:val="center"/>
              <w:rPr>
                <w:b/>
                <w:sz w:val="23"/>
                <w:szCs w:val="23"/>
              </w:rPr>
            </w:pPr>
          </w:p>
        </w:tc>
        <w:tc>
          <w:tcPr>
            <w:tcW w:w="2223" w:type="dxa"/>
            <w:vAlign w:val="center"/>
          </w:tcPr>
          <w:p w:rsidR="00C43DDC" w:rsidRPr="00C43DDC" w:rsidRDefault="00C43DDC" w:rsidP="00C43DDC">
            <w:pPr>
              <w:spacing w:before="60"/>
              <w:ind w:left="-57" w:right="-57"/>
              <w:jc w:val="center"/>
              <w:rPr>
                <w:b/>
                <w:sz w:val="23"/>
                <w:szCs w:val="23"/>
                <w:lang w:val="vi-VN"/>
              </w:rPr>
            </w:pPr>
            <w:r w:rsidRPr="00C43DDC">
              <w:rPr>
                <w:b/>
                <w:sz w:val="23"/>
                <w:szCs w:val="23"/>
              </w:rPr>
              <w:t>Cách 1</w:t>
            </w:r>
            <w:r w:rsidRPr="00C43DDC">
              <w:rPr>
                <w:b/>
                <w:sz w:val="23"/>
                <w:szCs w:val="23"/>
                <w:lang w:val="vi-VN"/>
              </w:rPr>
              <w:t xml:space="preserve"> </w:t>
            </w:r>
          </w:p>
          <w:p w:rsidR="00C43DDC" w:rsidRPr="00C43DDC" w:rsidRDefault="00C43DDC" w:rsidP="00C43DDC">
            <w:pPr>
              <w:spacing w:before="60"/>
              <w:ind w:left="-57" w:right="-57"/>
              <w:jc w:val="center"/>
              <w:rPr>
                <w:sz w:val="23"/>
                <w:szCs w:val="23"/>
              </w:rPr>
            </w:pPr>
            <w:r w:rsidRPr="00C43DDC">
              <w:rPr>
                <w:sz w:val="23"/>
                <w:szCs w:val="23"/>
                <w:lang w:val="vi-VN"/>
              </w:rPr>
              <w:t>(bầu đều cho 2 người)</w:t>
            </w:r>
          </w:p>
        </w:tc>
        <w:tc>
          <w:tcPr>
            <w:tcW w:w="2160" w:type="dxa"/>
            <w:vAlign w:val="center"/>
          </w:tcPr>
          <w:p w:rsidR="00C43DDC" w:rsidRPr="00C43DDC" w:rsidRDefault="00C43DDC" w:rsidP="00C43DDC">
            <w:pPr>
              <w:ind w:left="-57" w:right="-57"/>
              <w:jc w:val="center"/>
              <w:rPr>
                <w:b/>
                <w:sz w:val="23"/>
                <w:szCs w:val="23"/>
              </w:rPr>
            </w:pPr>
            <w:r w:rsidRPr="00C43DDC">
              <w:rPr>
                <w:b/>
                <w:sz w:val="23"/>
                <w:szCs w:val="23"/>
              </w:rPr>
              <w:t>Cách 2</w:t>
            </w:r>
          </w:p>
          <w:p w:rsidR="00C43DDC" w:rsidRPr="00C43DDC" w:rsidRDefault="00C43DDC" w:rsidP="0015157F">
            <w:pPr>
              <w:spacing w:before="60"/>
              <w:ind w:left="-57" w:right="-57"/>
              <w:jc w:val="center"/>
              <w:rPr>
                <w:spacing w:val="-8"/>
                <w:w w:val="98"/>
                <w:sz w:val="23"/>
                <w:szCs w:val="23"/>
              </w:rPr>
            </w:pPr>
            <w:r w:rsidRPr="00C43DDC">
              <w:rPr>
                <w:sz w:val="23"/>
                <w:szCs w:val="23"/>
                <w:lang w:val="vi-VN"/>
              </w:rPr>
              <w:t xml:space="preserve">(bầu hết cho </w:t>
            </w:r>
            <w:r w:rsidR="0015157F">
              <w:rPr>
                <w:sz w:val="23"/>
                <w:szCs w:val="23"/>
              </w:rPr>
              <w:t>1</w:t>
            </w:r>
            <w:r w:rsidRPr="00C43DDC">
              <w:rPr>
                <w:sz w:val="23"/>
                <w:szCs w:val="23"/>
                <w:lang w:val="vi-VN"/>
              </w:rPr>
              <w:t xml:space="preserve"> người)</w:t>
            </w:r>
          </w:p>
        </w:tc>
        <w:tc>
          <w:tcPr>
            <w:tcW w:w="2157" w:type="dxa"/>
            <w:vAlign w:val="center"/>
          </w:tcPr>
          <w:p w:rsidR="00C43DDC" w:rsidRPr="00C43DDC" w:rsidRDefault="00C43DDC" w:rsidP="00C43DDC">
            <w:pPr>
              <w:ind w:left="-57" w:right="-57"/>
              <w:jc w:val="center"/>
              <w:rPr>
                <w:b/>
                <w:sz w:val="23"/>
                <w:szCs w:val="23"/>
              </w:rPr>
            </w:pPr>
            <w:r w:rsidRPr="00C43DDC">
              <w:rPr>
                <w:b/>
                <w:sz w:val="23"/>
                <w:szCs w:val="23"/>
              </w:rPr>
              <w:t>Cách 3</w:t>
            </w:r>
          </w:p>
          <w:p w:rsidR="00C43DDC" w:rsidRPr="00C43DDC" w:rsidRDefault="00C43DDC" w:rsidP="00C43DDC">
            <w:pPr>
              <w:spacing w:before="60"/>
              <w:ind w:left="-57" w:right="-57"/>
              <w:jc w:val="center"/>
              <w:rPr>
                <w:spacing w:val="-6"/>
                <w:w w:val="98"/>
                <w:sz w:val="23"/>
                <w:szCs w:val="23"/>
              </w:rPr>
            </w:pPr>
            <w:r w:rsidRPr="00C43DDC">
              <w:rPr>
                <w:sz w:val="23"/>
                <w:szCs w:val="23"/>
                <w:lang w:val="vi-VN"/>
              </w:rPr>
              <w:t>(bầu theo tỷ lệ khác)</w:t>
            </w:r>
          </w:p>
        </w:tc>
      </w:tr>
      <w:tr w:rsidR="00C43DDC" w:rsidRPr="00805ECA" w:rsidTr="00A736F9">
        <w:trPr>
          <w:jc w:val="center"/>
        </w:trPr>
        <w:tc>
          <w:tcPr>
            <w:tcW w:w="600" w:type="dxa"/>
            <w:vAlign w:val="center"/>
          </w:tcPr>
          <w:p w:rsidR="00C43DDC" w:rsidRPr="00805ECA" w:rsidRDefault="00C43DDC" w:rsidP="00C43DDC">
            <w:pPr>
              <w:numPr>
                <w:ilvl w:val="0"/>
                <w:numId w:val="14"/>
              </w:numPr>
              <w:spacing w:before="60" w:after="60"/>
              <w:jc w:val="both"/>
            </w:pPr>
          </w:p>
        </w:tc>
        <w:tc>
          <w:tcPr>
            <w:tcW w:w="2397" w:type="dxa"/>
            <w:vAlign w:val="center"/>
          </w:tcPr>
          <w:p w:rsidR="00C43DDC" w:rsidRPr="00805ECA" w:rsidRDefault="00C43DDC" w:rsidP="008F10CE">
            <w:r w:rsidRPr="00805ECA">
              <w:t>Ông Nguyễn Văn A</w:t>
            </w:r>
          </w:p>
        </w:tc>
        <w:tc>
          <w:tcPr>
            <w:tcW w:w="2223" w:type="dxa"/>
            <w:vAlign w:val="center"/>
          </w:tcPr>
          <w:p w:rsidR="00C43DDC" w:rsidRPr="00805ECA" w:rsidRDefault="00C43DDC" w:rsidP="00C43DDC">
            <w:pPr>
              <w:jc w:val="center"/>
            </w:pPr>
            <w:r>
              <w:t>10.000</w:t>
            </w:r>
          </w:p>
        </w:tc>
        <w:tc>
          <w:tcPr>
            <w:tcW w:w="2160" w:type="dxa"/>
            <w:vAlign w:val="center"/>
          </w:tcPr>
          <w:p w:rsidR="00C43DDC" w:rsidRPr="00805ECA" w:rsidRDefault="00C43DDC" w:rsidP="00C43DDC">
            <w:pPr>
              <w:jc w:val="center"/>
            </w:pPr>
            <w:r>
              <w:t>20.000</w:t>
            </w:r>
          </w:p>
        </w:tc>
        <w:tc>
          <w:tcPr>
            <w:tcW w:w="2157" w:type="dxa"/>
            <w:vAlign w:val="center"/>
          </w:tcPr>
          <w:p w:rsidR="00C43DDC" w:rsidRPr="00805ECA" w:rsidRDefault="00C43DDC" w:rsidP="00C43DDC">
            <w:pPr>
              <w:jc w:val="center"/>
            </w:pPr>
            <w:r>
              <w:t>5.000</w:t>
            </w:r>
          </w:p>
        </w:tc>
      </w:tr>
      <w:tr w:rsidR="00C43DDC" w:rsidRPr="00805ECA" w:rsidTr="00A736F9">
        <w:trPr>
          <w:jc w:val="center"/>
        </w:trPr>
        <w:tc>
          <w:tcPr>
            <w:tcW w:w="600" w:type="dxa"/>
            <w:vAlign w:val="center"/>
          </w:tcPr>
          <w:p w:rsidR="00C43DDC" w:rsidRPr="00805ECA" w:rsidRDefault="00C43DDC" w:rsidP="00C43DDC">
            <w:pPr>
              <w:numPr>
                <w:ilvl w:val="0"/>
                <w:numId w:val="14"/>
              </w:numPr>
              <w:spacing w:before="60" w:after="60"/>
              <w:jc w:val="both"/>
            </w:pPr>
          </w:p>
        </w:tc>
        <w:tc>
          <w:tcPr>
            <w:tcW w:w="2397" w:type="dxa"/>
            <w:vAlign w:val="center"/>
          </w:tcPr>
          <w:p w:rsidR="00C43DDC" w:rsidRPr="00805ECA" w:rsidRDefault="00C43DDC" w:rsidP="008F10CE">
            <w:r w:rsidRPr="00805ECA">
              <w:t>Ông Nguyễn Văn B</w:t>
            </w:r>
          </w:p>
        </w:tc>
        <w:tc>
          <w:tcPr>
            <w:tcW w:w="2223" w:type="dxa"/>
            <w:vAlign w:val="center"/>
          </w:tcPr>
          <w:p w:rsidR="00C43DDC" w:rsidRPr="00805ECA" w:rsidRDefault="00C43DDC" w:rsidP="00C43DDC">
            <w:pPr>
              <w:jc w:val="center"/>
            </w:pPr>
            <w:r>
              <w:t>10.000</w:t>
            </w:r>
          </w:p>
        </w:tc>
        <w:tc>
          <w:tcPr>
            <w:tcW w:w="2160" w:type="dxa"/>
            <w:vAlign w:val="center"/>
          </w:tcPr>
          <w:p w:rsidR="00C43DDC" w:rsidRPr="00805ECA" w:rsidRDefault="005655AF" w:rsidP="00C43DDC">
            <w:pPr>
              <w:jc w:val="center"/>
            </w:pPr>
            <w:r>
              <w:rPr>
                <w:noProof/>
              </w:rPr>
              <w:pict>
                <v:line id="_x0000_s1026" style="position:absolute;left:0;text-align:left;z-index:251657728;mso-position-horizontal-relative:text;mso-position-vertical-relative:text" from="-2.25pt,3.9pt" to="100.95pt,17.6pt"/>
              </w:pict>
            </w:r>
          </w:p>
        </w:tc>
        <w:tc>
          <w:tcPr>
            <w:tcW w:w="2157" w:type="dxa"/>
            <w:vAlign w:val="center"/>
          </w:tcPr>
          <w:p w:rsidR="00C43DDC" w:rsidRPr="00805ECA" w:rsidRDefault="00C43DDC" w:rsidP="00C43DDC">
            <w:pPr>
              <w:jc w:val="center"/>
            </w:pPr>
            <w:r>
              <w:t>15.000</w:t>
            </w:r>
          </w:p>
        </w:tc>
      </w:tr>
      <w:tr w:rsidR="00C43DDC" w:rsidRPr="00C43DDC" w:rsidTr="00A736F9">
        <w:trPr>
          <w:jc w:val="center"/>
        </w:trPr>
        <w:tc>
          <w:tcPr>
            <w:tcW w:w="600" w:type="dxa"/>
            <w:vAlign w:val="center"/>
          </w:tcPr>
          <w:p w:rsidR="00C43DDC" w:rsidRPr="00C43DDC" w:rsidRDefault="00C43DDC" w:rsidP="00C43DDC">
            <w:pPr>
              <w:spacing w:before="60" w:after="60"/>
              <w:jc w:val="center"/>
              <w:rPr>
                <w:b/>
              </w:rPr>
            </w:pPr>
          </w:p>
        </w:tc>
        <w:tc>
          <w:tcPr>
            <w:tcW w:w="2397" w:type="dxa"/>
            <w:vAlign w:val="center"/>
          </w:tcPr>
          <w:p w:rsidR="00C43DDC" w:rsidRPr="00C43DDC" w:rsidRDefault="00C43DDC" w:rsidP="00C43DDC">
            <w:pPr>
              <w:jc w:val="center"/>
              <w:rPr>
                <w:b/>
              </w:rPr>
            </w:pPr>
            <w:r w:rsidRPr="00C43DDC">
              <w:rPr>
                <w:b/>
              </w:rPr>
              <w:t>Tổng số phiếu bầu</w:t>
            </w:r>
          </w:p>
        </w:tc>
        <w:tc>
          <w:tcPr>
            <w:tcW w:w="2223" w:type="dxa"/>
            <w:vAlign w:val="center"/>
          </w:tcPr>
          <w:p w:rsidR="00C43DDC" w:rsidRPr="00C43DDC" w:rsidRDefault="00C43DDC" w:rsidP="00C43DDC">
            <w:pPr>
              <w:jc w:val="center"/>
              <w:rPr>
                <w:b/>
              </w:rPr>
            </w:pPr>
            <w:r w:rsidRPr="00C43DDC">
              <w:rPr>
                <w:b/>
              </w:rPr>
              <w:t>20.000</w:t>
            </w:r>
          </w:p>
        </w:tc>
        <w:tc>
          <w:tcPr>
            <w:tcW w:w="2160" w:type="dxa"/>
            <w:vAlign w:val="center"/>
          </w:tcPr>
          <w:p w:rsidR="00C43DDC" w:rsidRPr="00C43DDC" w:rsidRDefault="00C43DDC" w:rsidP="00C43DDC">
            <w:pPr>
              <w:jc w:val="center"/>
              <w:rPr>
                <w:b/>
              </w:rPr>
            </w:pPr>
            <w:r w:rsidRPr="00C43DDC">
              <w:rPr>
                <w:b/>
              </w:rPr>
              <w:t>20.000</w:t>
            </w:r>
          </w:p>
        </w:tc>
        <w:tc>
          <w:tcPr>
            <w:tcW w:w="2157" w:type="dxa"/>
            <w:vAlign w:val="center"/>
          </w:tcPr>
          <w:p w:rsidR="00C43DDC" w:rsidRPr="00C43DDC" w:rsidRDefault="00C43DDC" w:rsidP="00C43DDC">
            <w:pPr>
              <w:jc w:val="center"/>
              <w:rPr>
                <w:b/>
              </w:rPr>
            </w:pPr>
            <w:r w:rsidRPr="00C43DDC">
              <w:rPr>
                <w:b/>
              </w:rPr>
              <w:t>20.000</w:t>
            </w:r>
          </w:p>
        </w:tc>
      </w:tr>
    </w:tbl>
    <w:p w:rsidR="00323120" w:rsidRPr="009F1D31" w:rsidRDefault="00323120" w:rsidP="00A0688F">
      <w:pPr>
        <w:jc w:val="both"/>
        <w:rPr>
          <w:b/>
          <w:u w:val="single"/>
          <w:lang w:val="de-DE"/>
        </w:rPr>
      </w:pPr>
    </w:p>
    <w:p w:rsidR="00323120" w:rsidRPr="009F1D31" w:rsidRDefault="00323120" w:rsidP="00A0688F">
      <w:pPr>
        <w:jc w:val="both"/>
        <w:rPr>
          <w:b/>
          <w:u w:val="single"/>
          <w:lang w:val="de-DE"/>
        </w:rPr>
      </w:pPr>
    </w:p>
    <w:p w:rsidR="00323120" w:rsidRPr="009F1D31" w:rsidRDefault="00323120" w:rsidP="00A0688F">
      <w:pPr>
        <w:jc w:val="both"/>
        <w:rPr>
          <w:b/>
          <w:u w:val="single"/>
          <w:lang w:val="de-DE"/>
        </w:rPr>
      </w:pPr>
    </w:p>
    <w:p w:rsidR="00323120" w:rsidRPr="009F1D31" w:rsidRDefault="00323120" w:rsidP="00A0688F">
      <w:pPr>
        <w:jc w:val="both"/>
        <w:rPr>
          <w:b/>
          <w:u w:val="single"/>
          <w:lang w:val="de-DE"/>
        </w:rPr>
      </w:pPr>
    </w:p>
    <w:p w:rsidR="00323120" w:rsidRPr="009F1D31" w:rsidRDefault="00323120" w:rsidP="00A0688F">
      <w:pPr>
        <w:jc w:val="both"/>
        <w:rPr>
          <w:b/>
          <w:u w:val="single"/>
          <w:lang w:val="de-DE"/>
        </w:rPr>
      </w:pPr>
    </w:p>
    <w:p w:rsidR="00323120" w:rsidRPr="009F1D31" w:rsidRDefault="00323120" w:rsidP="00A0688F">
      <w:pPr>
        <w:jc w:val="both"/>
        <w:rPr>
          <w:b/>
          <w:u w:val="single"/>
          <w:lang w:val="de-DE"/>
        </w:rPr>
      </w:pPr>
    </w:p>
    <w:p w:rsidR="00323120" w:rsidRPr="009F1D31" w:rsidRDefault="00323120" w:rsidP="00A0688F">
      <w:pPr>
        <w:jc w:val="both"/>
        <w:rPr>
          <w:b/>
          <w:u w:val="single"/>
          <w:lang w:val="de-DE"/>
        </w:rPr>
      </w:pPr>
    </w:p>
    <w:p w:rsidR="00323120" w:rsidRPr="009F1D31" w:rsidRDefault="00323120" w:rsidP="00A0688F">
      <w:pPr>
        <w:jc w:val="both"/>
        <w:rPr>
          <w:b/>
          <w:u w:val="single"/>
          <w:lang w:val="de-DE"/>
        </w:rPr>
      </w:pPr>
    </w:p>
    <w:p w:rsidR="00323120" w:rsidRPr="009F1D31" w:rsidRDefault="00323120" w:rsidP="00A0688F">
      <w:pPr>
        <w:jc w:val="both"/>
        <w:rPr>
          <w:b/>
          <w:u w:val="single"/>
          <w:lang w:val="de-DE"/>
        </w:rPr>
      </w:pPr>
    </w:p>
    <w:sectPr w:rsidR="00323120" w:rsidRPr="009F1D31" w:rsidSect="00D24617">
      <w:footerReference w:type="default" r:id="rId8"/>
      <w:pgSz w:w="11907" w:h="16840" w:code="9"/>
      <w:pgMar w:top="851" w:right="1021" w:bottom="567" w:left="1418" w:header="567"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714" w:rsidRDefault="00667714" w:rsidP="00BB02E4">
      <w:r>
        <w:separator/>
      </w:r>
    </w:p>
  </w:endnote>
  <w:endnote w:type="continuationSeparator" w:id="0">
    <w:p w:rsidR="00667714" w:rsidRDefault="00667714" w:rsidP="00BB0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2E4" w:rsidRDefault="00BB02E4">
    <w:pPr>
      <w:pStyle w:val="Footer"/>
      <w:jc w:val="center"/>
    </w:pPr>
  </w:p>
  <w:p w:rsidR="00BB02E4" w:rsidRDefault="00BB02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714" w:rsidRDefault="00667714" w:rsidP="00BB02E4">
      <w:r>
        <w:separator/>
      </w:r>
    </w:p>
  </w:footnote>
  <w:footnote w:type="continuationSeparator" w:id="0">
    <w:p w:rsidR="00667714" w:rsidRDefault="00667714" w:rsidP="00BB02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61D8"/>
    <w:multiLevelType w:val="multilevel"/>
    <w:tmpl w:val="F1004448"/>
    <w:lvl w:ilvl="0">
      <w:start w:val="39"/>
      <w:numFmt w:val="decimal"/>
      <w:lvlText w:val="%1"/>
      <w:lvlJc w:val="left"/>
      <w:pPr>
        <w:tabs>
          <w:tab w:val="num" w:pos="450"/>
        </w:tabs>
        <w:ind w:left="450" w:hanging="450"/>
      </w:pPr>
      <w:rPr>
        <w:rFonts w:hint="default"/>
      </w:rPr>
    </w:lvl>
    <w:lvl w:ilvl="1">
      <w:start w:val="1"/>
      <w:numFmt w:val="decimal"/>
      <w:lvlText w:val="39.%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340A0"/>
    <w:multiLevelType w:val="hybridMultilevel"/>
    <w:tmpl w:val="DEDEA260"/>
    <w:lvl w:ilvl="0" w:tplc="AF2E16A6">
      <w:numFmt w:val="bullet"/>
      <w:lvlText w:val="-"/>
      <w:lvlJc w:val="left"/>
      <w:pPr>
        <w:tabs>
          <w:tab w:val="num" w:pos="794"/>
        </w:tabs>
        <w:ind w:left="794" w:hanging="397"/>
      </w:pPr>
      <w:rPr>
        <w:rFonts w:ascii="Times New Roman" w:eastAsia="Times New Roman" w:hAnsi="Times New Roman" w:cs="Times New Roman" w:hint="default"/>
      </w:rPr>
    </w:lvl>
    <w:lvl w:ilvl="1" w:tplc="41A8443A">
      <w:numFmt w:val="bullet"/>
      <w:lvlText w:val="+"/>
      <w:lvlJc w:val="left"/>
      <w:pPr>
        <w:tabs>
          <w:tab w:val="num" w:pos="1191"/>
        </w:tabs>
        <w:ind w:left="1191" w:hanging="397"/>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051911"/>
    <w:multiLevelType w:val="hybridMultilevel"/>
    <w:tmpl w:val="885C90BC"/>
    <w:lvl w:ilvl="0" w:tplc="EF68F2A6">
      <w:start w:val="1"/>
      <w:numFmt w:val="decimal"/>
      <w:lvlText w:val="%1."/>
      <w:lvlJc w:val="left"/>
      <w:pPr>
        <w:tabs>
          <w:tab w:val="num" w:pos="170"/>
        </w:tabs>
        <w:ind w:left="170" w:hanging="17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321181"/>
    <w:multiLevelType w:val="hybridMultilevel"/>
    <w:tmpl w:val="97EA7A3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CDCA5F60">
      <w:start w:val="3"/>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3F4DAA"/>
    <w:multiLevelType w:val="hybridMultilevel"/>
    <w:tmpl w:val="69F2DFC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5A4E4A"/>
    <w:multiLevelType w:val="hybridMultilevel"/>
    <w:tmpl w:val="5B9C07F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EB3EBB"/>
    <w:multiLevelType w:val="hybridMultilevel"/>
    <w:tmpl w:val="F6746A92"/>
    <w:lvl w:ilvl="0" w:tplc="51601F06">
      <w:start w:val="1"/>
      <w:numFmt w:val="decimal"/>
      <w:lvlText w:val="%1."/>
      <w:lvlJc w:val="left"/>
      <w:pPr>
        <w:tabs>
          <w:tab w:val="num" w:pos="397"/>
        </w:tabs>
        <w:ind w:left="397" w:hanging="397"/>
      </w:pPr>
      <w:rPr>
        <w:rFonts w:ascii="Times New Roman" w:hAnsi="Times New Roman" w:hint="default"/>
        <w:b/>
        <w:i/>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DC536A"/>
    <w:multiLevelType w:val="multilevel"/>
    <w:tmpl w:val="A1C0F5F2"/>
    <w:lvl w:ilvl="0">
      <w:start w:val="4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3EB7FF4"/>
    <w:multiLevelType w:val="multilevel"/>
    <w:tmpl w:val="63DC783A"/>
    <w:lvl w:ilvl="0">
      <w:start w:val="39"/>
      <w:numFmt w:val="decimal"/>
      <w:lvlText w:val="%1"/>
      <w:lvlJc w:val="left"/>
      <w:pPr>
        <w:tabs>
          <w:tab w:val="num" w:pos="465"/>
        </w:tabs>
        <w:ind w:left="465" w:hanging="465"/>
      </w:pPr>
      <w:rPr>
        <w:rFonts w:hint="default"/>
      </w:rPr>
    </w:lvl>
    <w:lvl w:ilvl="1">
      <w:start w:val="4"/>
      <w:numFmt w:val="decimal"/>
      <w:lvlText w:val="%1.%2"/>
      <w:lvlJc w:val="left"/>
      <w:pPr>
        <w:tabs>
          <w:tab w:val="num" w:pos="645"/>
        </w:tabs>
        <w:ind w:left="64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8275EA3"/>
    <w:multiLevelType w:val="hybridMultilevel"/>
    <w:tmpl w:val="D126305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D57F8E"/>
    <w:multiLevelType w:val="hybridMultilevel"/>
    <w:tmpl w:val="6E38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D0708A"/>
    <w:multiLevelType w:val="hybridMultilevel"/>
    <w:tmpl w:val="A880C122"/>
    <w:lvl w:ilvl="0" w:tplc="D2C440B0">
      <w:start w:val="1"/>
      <w:numFmt w:val="lowerLetter"/>
      <w:lvlText w:val="%1."/>
      <w:lvlJc w:val="left"/>
      <w:pPr>
        <w:tabs>
          <w:tab w:val="num" w:pos="720"/>
        </w:tabs>
        <w:ind w:left="720" w:hanging="360"/>
      </w:pPr>
      <w:rPr>
        <w:rFonts w:ascii="Times New Roman" w:hAnsi="Times New Roman" w:cs="Times New Roman"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301079"/>
    <w:multiLevelType w:val="hybridMultilevel"/>
    <w:tmpl w:val="29FAAE92"/>
    <w:lvl w:ilvl="0" w:tplc="AF2E16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19621D"/>
    <w:multiLevelType w:val="multilevel"/>
    <w:tmpl w:val="B8EA7AD8"/>
    <w:lvl w:ilvl="0">
      <w:start w:val="31"/>
      <w:numFmt w:val="decimal"/>
      <w:lvlText w:val="%1"/>
      <w:lvlJc w:val="left"/>
      <w:pPr>
        <w:tabs>
          <w:tab w:val="num" w:pos="450"/>
        </w:tabs>
        <w:ind w:left="450" w:hanging="450"/>
      </w:pPr>
      <w:rPr>
        <w:rFonts w:hint="default"/>
      </w:rPr>
    </w:lvl>
    <w:lvl w:ilvl="1">
      <w:start w:val="1"/>
      <w:numFmt w:val="decimal"/>
      <w:lvlText w:val="3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11"/>
  </w:num>
  <w:num w:numId="3">
    <w:abstractNumId w:val="5"/>
  </w:num>
  <w:num w:numId="4">
    <w:abstractNumId w:val="0"/>
  </w:num>
  <w:num w:numId="5">
    <w:abstractNumId w:val="9"/>
  </w:num>
  <w:num w:numId="6">
    <w:abstractNumId w:val="3"/>
  </w:num>
  <w:num w:numId="7">
    <w:abstractNumId w:val="4"/>
  </w:num>
  <w:num w:numId="8">
    <w:abstractNumId w:val="8"/>
  </w:num>
  <w:num w:numId="9">
    <w:abstractNumId w:val="7"/>
  </w:num>
  <w:num w:numId="10">
    <w:abstractNumId w:val="10"/>
  </w:num>
  <w:num w:numId="11">
    <w:abstractNumId w:val="12"/>
  </w:num>
  <w:num w:numId="12">
    <w:abstractNumId w:val="1"/>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useFELayout/>
  </w:compat>
  <w:rsids>
    <w:rsidRoot w:val="00146C4E"/>
    <w:rsid w:val="00063B20"/>
    <w:rsid w:val="00072975"/>
    <w:rsid w:val="00075DEE"/>
    <w:rsid w:val="000D17B5"/>
    <w:rsid w:val="000D1AF0"/>
    <w:rsid w:val="000E746A"/>
    <w:rsid w:val="00146C4E"/>
    <w:rsid w:val="0015157F"/>
    <w:rsid w:val="00195439"/>
    <w:rsid w:val="001C796A"/>
    <w:rsid w:val="001E0B83"/>
    <w:rsid w:val="00224A72"/>
    <w:rsid w:val="00247402"/>
    <w:rsid w:val="002C4088"/>
    <w:rsid w:val="002D2D2F"/>
    <w:rsid w:val="00323120"/>
    <w:rsid w:val="003424F2"/>
    <w:rsid w:val="00345F10"/>
    <w:rsid w:val="00360D88"/>
    <w:rsid w:val="003613B5"/>
    <w:rsid w:val="003753C9"/>
    <w:rsid w:val="003870C0"/>
    <w:rsid w:val="00400863"/>
    <w:rsid w:val="00417712"/>
    <w:rsid w:val="00435438"/>
    <w:rsid w:val="00452D03"/>
    <w:rsid w:val="004534E9"/>
    <w:rsid w:val="004E2AF2"/>
    <w:rsid w:val="004E5B4A"/>
    <w:rsid w:val="005655AF"/>
    <w:rsid w:val="005F1F56"/>
    <w:rsid w:val="0060256C"/>
    <w:rsid w:val="00650AC9"/>
    <w:rsid w:val="0066064F"/>
    <w:rsid w:val="00667714"/>
    <w:rsid w:val="00676647"/>
    <w:rsid w:val="006845D6"/>
    <w:rsid w:val="006E4766"/>
    <w:rsid w:val="00707854"/>
    <w:rsid w:val="007141EA"/>
    <w:rsid w:val="007408F3"/>
    <w:rsid w:val="00771A29"/>
    <w:rsid w:val="00773E1C"/>
    <w:rsid w:val="00793AD9"/>
    <w:rsid w:val="007C1270"/>
    <w:rsid w:val="007F2F18"/>
    <w:rsid w:val="00806783"/>
    <w:rsid w:val="00840045"/>
    <w:rsid w:val="008D128B"/>
    <w:rsid w:val="008E3C90"/>
    <w:rsid w:val="008F10CE"/>
    <w:rsid w:val="008F4119"/>
    <w:rsid w:val="009012BC"/>
    <w:rsid w:val="0091751D"/>
    <w:rsid w:val="00923530"/>
    <w:rsid w:val="00926FB1"/>
    <w:rsid w:val="009757AE"/>
    <w:rsid w:val="00986AEA"/>
    <w:rsid w:val="009B0F9A"/>
    <w:rsid w:val="009B1DD2"/>
    <w:rsid w:val="009E1DFF"/>
    <w:rsid w:val="009F1D31"/>
    <w:rsid w:val="00A0688F"/>
    <w:rsid w:val="00A20FE3"/>
    <w:rsid w:val="00A3278B"/>
    <w:rsid w:val="00A554EC"/>
    <w:rsid w:val="00A71634"/>
    <w:rsid w:val="00A736F9"/>
    <w:rsid w:val="00A85E12"/>
    <w:rsid w:val="00A87F9B"/>
    <w:rsid w:val="00A91297"/>
    <w:rsid w:val="00A94EB0"/>
    <w:rsid w:val="00AD0C25"/>
    <w:rsid w:val="00AD4958"/>
    <w:rsid w:val="00AE1BDA"/>
    <w:rsid w:val="00AE4327"/>
    <w:rsid w:val="00AE683D"/>
    <w:rsid w:val="00AF099E"/>
    <w:rsid w:val="00B216A1"/>
    <w:rsid w:val="00B26DF4"/>
    <w:rsid w:val="00B3573F"/>
    <w:rsid w:val="00B74A7C"/>
    <w:rsid w:val="00BA724E"/>
    <w:rsid w:val="00BB02E4"/>
    <w:rsid w:val="00BF44E0"/>
    <w:rsid w:val="00C11DD8"/>
    <w:rsid w:val="00C32CBE"/>
    <w:rsid w:val="00C43DDC"/>
    <w:rsid w:val="00C4400B"/>
    <w:rsid w:val="00C46913"/>
    <w:rsid w:val="00C54F6B"/>
    <w:rsid w:val="00C655DF"/>
    <w:rsid w:val="00C80807"/>
    <w:rsid w:val="00C82031"/>
    <w:rsid w:val="00C84EA7"/>
    <w:rsid w:val="00C85094"/>
    <w:rsid w:val="00C850BF"/>
    <w:rsid w:val="00C85875"/>
    <w:rsid w:val="00C9115A"/>
    <w:rsid w:val="00CA050E"/>
    <w:rsid w:val="00CD5BB0"/>
    <w:rsid w:val="00CE2FC0"/>
    <w:rsid w:val="00D24617"/>
    <w:rsid w:val="00D365A1"/>
    <w:rsid w:val="00D5526B"/>
    <w:rsid w:val="00DA4B29"/>
    <w:rsid w:val="00DC49A0"/>
    <w:rsid w:val="00DF1517"/>
    <w:rsid w:val="00E3549D"/>
    <w:rsid w:val="00E55D98"/>
    <w:rsid w:val="00E77A5D"/>
    <w:rsid w:val="00E94842"/>
    <w:rsid w:val="00EA03AE"/>
    <w:rsid w:val="00F061D4"/>
    <w:rsid w:val="00F11275"/>
    <w:rsid w:val="00F13477"/>
    <w:rsid w:val="00F227A2"/>
    <w:rsid w:val="00F34A6D"/>
    <w:rsid w:val="00F424A4"/>
    <w:rsid w:val="00F76032"/>
    <w:rsid w:val="00FB4AB3"/>
    <w:rsid w:val="00FC31A6"/>
    <w:rsid w:val="00FD6586"/>
    <w:rsid w:val="00FF5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7B5"/>
    <w:rPr>
      <w:sz w:val="24"/>
      <w:szCs w:val="24"/>
      <w:lang w:eastAsia="zh-CN"/>
    </w:rPr>
  </w:style>
  <w:style w:type="paragraph" w:styleId="Heading1">
    <w:name w:val="heading 1"/>
    <w:basedOn w:val="Normal"/>
    <w:next w:val="Normal"/>
    <w:qFormat/>
    <w:rsid w:val="001C796A"/>
    <w:pPr>
      <w:keepNext/>
      <w:widowControl w:val="0"/>
      <w:adjustRightInd w:val="0"/>
      <w:spacing w:line="360" w:lineRule="auto"/>
      <w:jc w:val="center"/>
      <w:textAlignment w:val="baseline"/>
      <w:outlineLvl w:val="0"/>
    </w:pPr>
    <w:rPr>
      <w:rFonts w:ascii=".VnTimeH" w:eastAsia="Times New Roman" w:hAnsi=".VnTimeH"/>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F4119"/>
    <w:pPr>
      <w:widowControl w:val="0"/>
      <w:adjustRightInd w:val="0"/>
      <w:spacing w:line="360" w:lineRule="auto"/>
      <w:jc w:val="both"/>
      <w:textAlignment w:val="baseline"/>
    </w:pPr>
    <w:rPr>
      <w:rFonts w:ascii=".VnTime" w:eastAsia="Times New Roman" w:hAnsi=".VnTime"/>
      <w:sz w:val="28"/>
      <w:lang w:eastAsia="en-US"/>
    </w:rPr>
  </w:style>
  <w:style w:type="paragraph" w:styleId="NormalWeb">
    <w:name w:val="Normal (Web)"/>
    <w:basedOn w:val="Normal"/>
    <w:rsid w:val="008F4119"/>
    <w:pPr>
      <w:spacing w:before="100" w:beforeAutospacing="1" w:after="100" w:afterAutospacing="1"/>
    </w:pPr>
    <w:rPr>
      <w:sz w:val="29"/>
      <w:szCs w:val="29"/>
    </w:rPr>
  </w:style>
  <w:style w:type="paragraph" w:styleId="Header">
    <w:name w:val="header"/>
    <w:basedOn w:val="Normal"/>
    <w:link w:val="HeaderChar"/>
    <w:uiPriority w:val="99"/>
    <w:unhideWhenUsed/>
    <w:rsid w:val="00BB02E4"/>
    <w:pPr>
      <w:tabs>
        <w:tab w:val="center" w:pos="4680"/>
        <w:tab w:val="right" w:pos="9360"/>
      </w:tabs>
    </w:pPr>
  </w:style>
  <w:style w:type="character" w:customStyle="1" w:styleId="HeaderChar">
    <w:name w:val="Header Char"/>
    <w:link w:val="Header"/>
    <w:uiPriority w:val="99"/>
    <w:rsid w:val="00BB02E4"/>
    <w:rPr>
      <w:sz w:val="24"/>
      <w:szCs w:val="24"/>
      <w:lang w:eastAsia="zh-CN"/>
    </w:rPr>
  </w:style>
  <w:style w:type="paragraph" w:styleId="Footer">
    <w:name w:val="footer"/>
    <w:basedOn w:val="Normal"/>
    <w:link w:val="FooterChar"/>
    <w:uiPriority w:val="99"/>
    <w:unhideWhenUsed/>
    <w:rsid w:val="00BB02E4"/>
    <w:pPr>
      <w:tabs>
        <w:tab w:val="center" w:pos="4680"/>
        <w:tab w:val="right" w:pos="9360"/>
      </w:tabs>
    </w:pPr>
  </w:style>
  <w:style w:type="character" w:customStyle="1" w:styleId="FooterChar">
    <w:name w:val="Footer Char"/>
    <w:link w:val="Footer"/>
    <w:uiPriority w:val="99"/>
    <w:rsid w:val="00BB02E4"/>
    <w:rPr>
      <w:sz w:val="24"/>
      <w:szCs w:val="24"/>
      <w:lang w:eastAsia="zh-CN"/>
    </w:rPr>
  </w:style>
  <w:style w:type="table" w:styleId="TableGrid">
    <w:name w:val="Table Grid"/>
    <w:basedOn w:val="TableNormal"/>
    <w:rsid w:val="00C43DDC"/>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41161-C410-45B1-9E5A-ED0676A3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Tài liệu đính kèm Thông báo số </vt:lpstr>
    </vt:vector>
  </TitlesOfParts>
  <Company>Ten Cong Ty</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liệu đính kèm Thông báo số</dc:title>
  <dc:creator>namnt</dc:creator>
  <cp:lastModifiedBy>Administrator</cp:lastModifiedBy>
  <cp:revision>5</cp:revision>
  <cp:lastPrinted>2008-12-05T08:36:00Z</cp:lastPrinted>
  <dcterms:created xsi:type="dcterms:W3CDTF">2013-07-15T03:00:00Z</dcterms:created>
  <dcterms:modified xsi:type="dcterms:W3CDTF">2013-07-18T07:34:00Z</dcterms:modified>
</cp:coreProperties>
</file>